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A3C5E"/>
          <w:sz w:val="52"/>
          <w:szCs w:val="52"/>
        </w:rPr>
        <w:t xml:space="preserve">Food &amp; Drink City Rankings</w:t>
      </w:r>
    </w:p>
    <w:p>
      <w:pPr>
        <w:spacing w:after="80" w:before="0"/>
      </w:pPr>
      <w:r>
        <w:rPr>
          <w:rFonts w:ascii="Arial" w:cs="Arial" w:eastAsia="Arial" w:hAnsi="Arial"/>
          <w:color w:val="2E6DA4"/>
          <w:sz w:val="36"/>
          <w:szCs w:val="36"/>
        </w:rPr>
        <w:t xml:space="preserve">Scoring Methodology</w:t>
      </w:r>
    </w:p>
    <w:p>
      <w:pPr>
        <w:spacing w:after="400" w:before="0"/>
      </w:pPr>
      <w:r>
        <w:rPr>
          <w:rFonts w:ascii="Arial" w:cs="Arial" w:eastAsia="Arial" w:hAnsi="Arial"/>
          <w:i/>
          <w:iCs/>
          <w:color w:val="888888"/>
          <w:sz w:val="18"/>
          <w:szCs w:val="18"/>
        </w:rPr>
        <w:t xml:space="preserve">Working document — last updated April 2026</w:t>
      </w:r>
    </w:p>
    <w:p>
      <w:pPr>
        <w:pStyle w:val="Heading1"/>
        <w:spacing w:after="160" w:before="400"/>
      </w:pPr>
      <w:r>
        <w:rPr>
          <w:rFonts w:ascii="Arial" w:cs="Arial" w:eastAsia="Arial" w:hAnsi="Arial"/>
          <w:b/>
          <w:bCs/>
          <w:color w:val="1A3C5E"/>
          <w:sz w:val="32"/>
          <w:szCs w:val="32"/>
        </w:rPr>
        <w:t xml:space="preserve">Overview</w:t>
      </w:r>
    </w:p>
    <w:p>
      <w:pPr>
        <w:spacing w:after="80" w:before="80"/>
      </w:pPr>
      <w:r>
        <w:rPr>
          <w:rFonts w:ascii="Arial" w:cs="Arial" w:eastAsia="Arial" w:hAnsi="Arial"/>
          <w:sz w:val="20"/>
          <w:szCs w:val="20"/>
        </w:rPr>
        <w:t xml:space="preserve">This document defines the scoring methodology for ranking cities by how exciting they are from a food and drink perspective. The site is designed primarily for travellers choosing where to visit, not residents evaluating where to live. Scores therefore reflect absolute quality and availability rather than per-capita measures.</w:t>
      </w:r>
    </w:p>
    <w:p>
      <w:pPr>
        <w:spacing w:after="80" w:before="80"/>
      </w:pPr>
      <w:r>
        <w:rPr>
          <w:rFonts w:ascii="Arial" w:cs="Arial" w:eastAsia="Arial" w:hAnsi="Arial"/>
          <w:sz w:val="20"/>
          <w:szCs w:val="20"/>
        </w:rPr>
        <w:t xml:space="preserve">Categories covered in this document: Fine Dining, Casual Sit-Down Dining, Cheap Eats &amp; Street Food, Bars, Variety, and Overall City Rating. Further categories may be added as methodology is agreed.</w:t>
      </w:r>
    </w:p>
    <w:p>
      <w:pPr>
        <w:spacing w:after="80" w:before="80"/>
      </w:pPr>
      <w:r>
        <w:t xml:space="preserve"/>
      </w:r>
    </w:p>
    <w:p>
      <w:pPr>
        <w:pStyle w:val="Heading1"/>
        <w:spacing w:after="160" w:before="400"/>
      </w:pPr>
      <w:r>
        <w:rPr>
          <w:rFonts w:ascii="Arial" w:cs="Arial" w:eastAsia="Arial" w:hAnsi="Arial"/>
          <w:b/>
          <w:bCs/>
          <w:color w:val="1A3C5E"/>
          <w:sz w:val="32"/>
          <w:szCs w:val="32"/>
        </w:rPr>
        <w:t xml:space="preserve">1. Fine Dining</w:t>
      </w:r>
    </w:p>
    <w:p>
      <w:pPr>
        <w:spacing w:after="80" w:before="80"/>
      </w:pPr>
      <w:r>
        <w:rPr>
          <w:rFonts w:ascii="Arial" w:cs="Arial" w:eastAsia="Arial" w:hAnsi="Arial"/>
          <w:sz w:val="20"/>
          <w:szCs w:val="20"/>
        </w:rPr>
        <w:t xml:space="preserve">The fine dining score measures the absolute ceiling of a city's restaurant scene — how good are the best restaurants available to a visitor, and how many of them are there?</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1.1  Scoring principle</w:t>
      </w:r>
    </w:p>
    <w:p>
      <w:pPr>
        <w:spacing w:after="80" w:before="80"/>
      </w:pPr>
      <w:r>
        <w:rPr>
          <w:rFonts w:ascii="Arial" w:cs="Arial" w:eastAsia="Arial" w:hAnsi="Arial"/>
          <w:sz w:val="20"/>
          <w:szCs w:val="20"/>
        </w:rPr>
        <w:t xml:space="preserve">Scores are based on absolute numbers of acclaimed restaurants, not per-capita density. A traveller visiting Tokyo has access to 194 Michelin-starred restaurants regardless of the city's population. Per-capita metrics are a livability measure; absolute counts are the traveller measure.</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1.2  Michelin star weighting</w:t>
      </w:r>
    </w:p>
    <w:p>
      <w:pPr>
        <w:spacing w:after="80" w:before="80"/>
      </w:pPr>
      <w:r>
        <w:rPr>
          <w:rFonts w:ascii="Arial" w:cs="Arial" w:eastAsia="Arial" w:hAnsi="Arial"/>
          <w:sz w:val="20"/>
          <w:szCs w:val="20"/>
        </w:rPr>
        <w:t xml:space="preserve">Rather than counting starred restaurants as equals, a points system is applied that reflects the meaningful quality difference between tiers:</w:t>
      </w:r>
    </w:p>
    <w:p>
      <w:pPr>
        <w:spacing w:after="80" w:before="80"/>
      </w:pPr>
      <w:r>
        <w:t xml:space="preserve"/>
      </w:r>
    </w:p>
    <w:tbl>
      <w:tblPr>
        <w:tblW w:type="dxa" w:w="4212"/>
        <w:tblBorders>
          <w:top w:val="single" w:color="auto" w:sz="4"/>
          <w:left w:val="single" w:color="auto" w:sz="4"/>
          <w:bottom w:val="single" w:color="auto" w:sz="4"/>
          <w:right w:val="single" w:color="auto" w:sz="4"/>
          <w:insideH w:val="single" w:color="auto" w:sz="4"/>
          <w:insideV w:val="single" w:color="auto" w:sz="4"/>
        </w:tblBorders>
      </w:tblPr>
      <w:tblGrid>
        <w:gridCol w:w="2340"/>
        <w:gridCol w:w="1872"/>
      </w:tblGrid>
      <w:tr>
        <w:trPr>
          <w:tblHeader/>
        </w:trPr>
        <w:tc>
          <w:tcPr>
            <w:tcW w:type="dxa" w:w="2340"/>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Star tier</w:t>
            </w:r>
          </w:p>
        </w:tc>
        <w:tc>
          <w:tcPr>
            <w:tcW w:type="dxa" w:w="1872"/>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Points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3-star restaurant</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 points</w:t>
            </w:r>
          </w:p>
        </w:tc>
      </w:tr>
      <w:tr>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2-star restaurant</w:t>
            </w:r>
          </w:p>
        </w:tc>
        <w:tc>
          <w:tcPr>
            <w:tcW w:type="dxa" w:w="1872"/>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2 points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1-star restaurant</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 point</w:t>
            </w:r>
          </w:p>
        </w:tc>
      </w:tr>
    </w:tbl>
    <w:p>
      <w:pPr>
        <w:spacing w:after="80" w:before="80"/>
      </w:pPr>
      <w:r>
        <w:t xml:space="preserve"/>
      </w:r>
    </w:p>
    <w:p>
      <w:pPr>
        <w:pStyle w:val="Heading2"/>
        <w:spacing w:after="120" w:before="280"/>
      </w:pPr>
      <w:r>
        <w:rPr>
          <w:rFonts w:ascii="Arial" w:cs="Arial" w:eastAsia="Arial" w:hAnsi="Arial"/>
          <w:b/>
          <w:bCs/>
          <w:color w:val="2E6DA4"/>
          <w:sz w:val="24"/>
          <w:szCs w:val="24"/>
        </w:rPr>
        <w:t xml:space="preserve">1.3  World's 50 Best weighting</w:t>
      </w:r>
    </w:p>
    <w:p>
      <w:pPr>
        <w:spacing w:after="80" w:before="80"/>
      </w:pPr>
      <w:r>
        <w:rPr>
          <w:rFonts w:ascii="Arial" w:cs="Arial" w:eastAsia="Arial" w:hAnsi="Arial"/>
          <w:sz w:val="20"/>
          <w:szCs w:val="20"/>
        </w:rPr>
        <w:t xml:space="preserve">Placements on the global World's 50 Best Restaurants list and all four regional lists (Asia's 50 Best, Latin America's 50 Best, Middle East &amp; North Africa's 50 Best, Europe's 50 Best) are included. Rankings are weighted so that a top 10 placement is worth more than a 41–50 placement. Exact point values for rank bands are to be defined.</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1.4  Geographic coverage caveat</w:t>
      </w:r>
    </w:p>
    <w:p>
      <w:pPr>
        <w:spacing w:after="80" w:before="80"/>
      </w:pPr>
      <w:r>
        <w:rPr>
          <w:rFonts w:ascii="Arial" w:cs="Arial" w:eastAsia="Arial" w:hAnsi="Arial"/>
          <w:sz w:val="20"/>
          <w:szCs w:val="20"/>
        </w:rPr>
        <w:t xml:space="preserve">Michelin’s geographic coverage is uneven. Cities without a Michelin guide are not penalised — their fine dining score relies more heavily on La Liste, OAD and Eater, which have broader international coverage. This is the intended behaviour and ensures cities like Bangkok, Mexico City and Beirut are not artificially disadvantaged.</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1.5  Fine dining destination flag</w:t>
      </w:r>
    </w:p>
    <w:p>
      <w:pPr>
        <w:spacing w:after="80" w:before="80"/>
      </w:pPr>
      <w:r>
        <w:rPr>
          <w:rFonts w:ascii="Arial" w:cs="Arial" w:eastAsia="Arial" w:hAnsi="Arial"/>
          <w:sz w:val="20"/>
          <w:szCs w:val="20"/>
        </w:rPr>
        <w:t xml:space="preserve">Cities with an exceptional concentration of 3-star restaurants relative to their overall size — San Sebastian and Lyon being the primary examples — receive a callout flag on the site. This does not affect the numerical score but surfaces them as recommended destinations for travellers whose primary purpose is fine dining.</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1.6  Sources and weightings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59"/>
        <w:gridCol w:w="1217"/>
        <w:gridCol w:w="1872"/>
        <w:gridCol w:w="2808"/>
        <w:gridCol w:w="1404"/>
      </w:tblGrid>
      <w:tr>
        <w:trPr>
          <w:tblHeader/>
        </w:trPr>
        <w:tc>
          <w:tcPr>
            <w:tcW w:type="dxa" w:w="2059"/>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c>
          <w:tcPr>
            <w:tcW w:type="dxa" w:w="1217"/>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W w:type="dxa" w:w="1872"/>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Type</w:t>
            </w:r>
          </w:p>
        </w:tc>
        <w:tc>
          <w:tcPr>
            <w:tcW w:type="dxa" w:w="2808"/>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What you extract</w:t>
            </w:r>
          </w:p>
        </w:tc>
        <w:tc>
          <w:tcPr>
            <w:tcW w:type="dxa" w:w="1404"/>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Coverage</w:t>
            </w:r>
          </w:p>
        </w:tc>
      </w:tr>
      <w:tr>
        <w:tc>
          <w:tcPr>
            <w:tcW w:type="dxa" w:w="205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Michelin (weighted star points)</w:t>
            </w:r>
          </w:p>
        </w:tc>
        <w:tc>
          <w:tcPr>
            <w:tcW w:type="dxa" w:w="121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3-star = 3pts, 2-star = 2pts, 1-star = 1pt per city</w:t>
            </w:r>
          </w:p>
        </w:tc>
        <w:tc>
          <w:tcPr>
            <w:tcW w:type="dxa" w:w="140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Michelin-covered cities</w:t>
            </w:r>
          </w:p>
        </w:tc>
      </w:tr>
      <w:tr>
        <w:tc>
          <w:tcPr>
            <w:tcW w:type="dxa" w:w="2059"/>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World's 50 Best (incl. regional lists)</w:t>
            </w:r>
          </w:p>
        </w:tc>
        <w:tc>
          <w:tcPr>
            <w:tcW w:type="dxa" w:w="1217"/>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872"/>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Placements weighted by rank; top 10 worth more than 41–50</w:t>
            </w:r>
          </w:p>
        </w:tc>
        <w:tc>
          <w:tcPr>
            <w:tcW w:type="dxa" w:w="1404"/>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 + 4 regional lists</w:t>
            </w:r>
          </w:p>
        </w:tc>
      </w:tr>
      <w:tr>
        <w:tc>
          <w:tcPr>
            <w:tcW w:type="dxa" w:w="205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La Liste</w:t>
            </w:r>
          </w:p>
        </w:tc>
        <w:tc>
          <w:tcPr>
            <w:tcW w:type="dxa" w:w="121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City score from aggregated 600+ guides and review sources</w:t>
            </w:r>
          </w:p>
        </w:tc>
        <w:tc>
          <w:tcPr>
            <w:tcW w:type="dxa" w:w="140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200 cities globally</w:t>
            </w:r>
          </w:p>
        </w:tc>
      </w:tr>
      <w:tr>
        <w:tc>
          <w:tcPr>
            <w:tcW w:type="dxa" w:w="2059"/>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OAD (Opinionated About Dining)</w:t>
            </w:r>
          </w:p>
        </w:tc>
        <w:tc>
          <w:tcPr>
            <w:tcW w:type="dxa" w:w="1217"/>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872"/>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Restaurant count + rank per city from fine dining lists</w:t>
            </w:r>
          </w:p>
        </w:tc>
        <w:tc>
          <w:tcPr>
            <w:tcW w:type="dxa" w:w="1404"/>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Europe, N. America, Asia</w:t>
            </w:r>
          </w:p>
        </w:tc>
      </w:tr>
      <w:tr>
        <w:tc>
          <w:tcPr>
            <w:tcW w:type="dxa" w:w="252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Eater city maps ($$$$)</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Scraped structured data</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Count of $$$$ rated restaurants per city map</w:t>
            </w:r>
          </w:p>
        </w:tc>
        <w:tc>
          <w:tcPr>
            <w:tcW w:type="dxa" w:w="140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100+ cities globally</w:t>
            </w:r>
          </w:p>
        </w:tc>
      </w:tr>
    </w:tbl>
    <w:p>
      <w:pPr>
        <w:spacing w:after="80" w:before="80"/>
      </w:pPr>
      <w:r>
        <w:t xml:space="preserve"/>
      </w:r>
    </w:p>
    <w:p>
      <w:pPr>
        <w:spacing w:after="160" w:before="80"/>
      </w:pPr>
      <w:r>
        <w:rPr>
          <w:rFonts w:ascii="Arial" w:cs="Arial" w:eastAsia="Arial" w:hAnsi="Arial"/>
          <w:i/>
          <w:iCs/>
          <w:color w:val="555555"/>
          <w:sz w:val="18"/>
          <w:szCs w:val="18"/>
        </w:rPr>
        <w:t xml:space="preserve">Note: All five sources are weighted equally at 20%. Eater city maps $$$$ listings are included as the fifth source because they provide broad geographic coverage (100+ cities) and a price-filtered signal that directly targets the fine dining segment, complementing the more awards-focused signals from Michelin, World’s 50 Best, La Liste and OAD. For cities without Michelin coverage, the 20% Michelin weight is redistributed equally across the remaining four sources. La Liste’s well-documented bias toward French restaurants and Paris (as a French government-backed aggregator) is mitigated by equal weighting across all five sources rather than giving Michelin or La Liste disproportionate influence.</w:t>
      </w:r>
    </w:p>
    <w:p>
      <w:pPr>
        <w:spacing w:after="80" w:before="80"/>
      </w:pPr>
      <w:r>
        <w:t xml:space="preserve"/>
      </w:r>
    </w:p>
    <w:p>
      <w:pPr>
        <w:pStyle w:val="Heading1"/>
        <w:spacing w:after="160" w:before="400"/>
      </w:pPr>
      <w:r>
        <w:rPr>
          <w:rFonts w:ascii="Arial" w:cs="Arial" w:eastAsia="Arial" w:hAnsi="Arial"/>
          <w:b/>
          <w:bCs/>
          <w:color w:val="1A3C5E"/>
          <w:sz w:val="32"/>
          <w:szCs w:val="32"/>
        </w:rPr>
        <w:t xml:space="preserve">2. Casual Sit-Down Dining</w:t>
      </w:r>
    </w:p>
    <w:p>
      <w:pPr>
        <w:spacing w:after="80" w:before="80"/>
      </w:pPr>
      <w:r>
        <w:rPr>
          <w:rFonts w:ascii="Arial" w:cs="Arial" w:eastAsia="Arial" w:hAnsi="Arial"/>
          <w:sz w:val="20"/>
          <w:szCs w:val="20"/>
        </w:rPr>
        <w:t xml:space="preserve">The casual sit-down dining score measures the quality and depth of a city's affordable seated restaurant scene — neighbourhood bistros, ramen bars, trattorias, and quality local favourites where a visitor can eat exceptionally well without a large spend or a formal reservation.</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2.1  Scope</w:t>
      </w:r>
    </w:p>
    <w:p>
      <w:pPr>
        <w:spacing w:after="80" w:before="80"/>
      </w:pPr>
      <w:r>
        <w:rPr>
          <w:rFonts w:ascii="Arial" w:cs="Arial" w:eastAsia="Arial" w:hAnsi="Arial"/>
          <w:sz w:val="20"/>
          <w:szCs w:val="20"/>
        </w:rPr>
        <w:t xml:space="preserve">This category covers permanent, seated dining establishments across the $$ and $$$ price range. Street food, market stalls, hawker culture, and very low-cost eating establishments are covered separately under Cheap Eats &amp; Street Food (Category 3).</w:t>
      </w:r>
    </w:p>
    <w:p>
      <w:pPr>
        <w:spacing w:after="80" w:before="80"/>
      </w:pPr>
      <w:r>
        <w:rPr>
          <w:rFonts w:ascii="Arial" w:cs="Arial" w:eastAsia="Arial" w:hAnsi="Arial"/>
          <w:sz w:val="20"/>
          <w:szCs w:val="20"/>
        </w:rPr>
        <w:t xml:space="preserve">OAD Cheap Eats is included in both this category and Category 3, reflecting the ambiguity of its price range — it covers some clearly casual sit-down restaurants (e.g. Ottolenghi in London) alongside lower price point establishments. Including it in both categories ensures its signal is captured appropriately regardless of where individual listings fall.</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2.2  OAD lists</w:t>
      </w:r>
    </w:p>
    <w:p>
      <w:pPr>
        <w:spacing w:after="80" w:before="80"/>
      </w:pPr>
      <w:r>
        <w:rPr>
          <w:rFonts w:ascii="Arial" w:cs="Arial" w:eastAsia="Arial" w:hAnsi="Arial"/>
          <w:sz w:val="20"/>
          <w:szCs w:val="20"/>
        </w:rPr>
        <w:t xml:space="preserve">Two OAD lists contribute to this category: the OAD Casual list and the OAD Cheap Eats list. Both use the same expert voter methodology — weighted votes from serious food travellers — and together cover the full range of the category. They are treated as a combined 33.3% source.</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2.3  Eater price filtering</w:t>
      </w:r>
    </w:p>
    <w:p>
      <w:pPr>
        <w:spacing w:after="80" w:before="80"/>
      </w:pPr>
      <w:r>
        <w:rPr>
          <w:rFonts w:ascii="Arial" w:cs="Arial" w:eastAsia="Arial" w:hAnsi="Arial"/>
          <w:sz w:val="20"/>
          <w:szCs w:val="20"/>
        </w:rPr>
        <w:t xml:space="preserve">Eater's city maps assign a $ to $$$$ price rating to each listed restaurant. Restaurants rated $$ and $$$ are counted for this category. The inclusion of $$$ reflects that in high cost-of-living cities such as New York, London and Tokyo, $$ alone does not adequately capture the casual dining range. Eater covers 100+ cities globally, giving this source the broadest geographic reach of any in this category.</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2.4  Sources and weightings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936"/>
        <w:gridCol w:w="1591"/>
        <w:gridCol w:w="2808"/>
        <w:gridCol w:w="1685"/>
      </w:tblGrid>
      <w:tr>
        <w:trPr>
          <w:tblHeader/>
        </w:trPr>
        <w:tc>
          <w:tcPr>
            <w:tcW w:type="dxa" w:w="2340"/>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c>
          <w:tcPr>
            <w:tcW w:type="dxa" w:w="936"/>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W w:type="dxa" w:w="159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Type</w:t>
            </w:r>
          </w:p>
        </w:tc>
        <w:tc>
          <w:tcPr>
            <w:tcW w:type="dxa" w:w="2808"/>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What you extract</w:t>
            </w:r>
          </w:p>
        </w:tc>
        <w:tc>
          <w:tcPr>
            <w:tcW w:type="dxa" w:w="1685"/>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Coverage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OAD Casual + Cheap Eats (combined)</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33.3%</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Restaurant count + rank per city across both lists</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Europe, N. America, Asia</w:t>
            </w:r>
          </w:p>
        </w:tc>
      </w:tr>
      <w:tr>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Michelin Bib Gourmand</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33.3%</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Count of Bib Gourmand restaurants per city</w:t>
            </w:r>
          </w:p>
        </w:tc>
        <w:tc>
          <w:tcPr>
            <w:tcW w:type="dxa" w:w="1685"/>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Michelin-covered cities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Eater city maps ($$ and $$$ combined)</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33.3%</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Scraped structured data</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Count of $$ and $$$ rated restaurants per city map</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100+ cities globally</w:t>
            </w:r>
          </w:p>
        </w:tc>
      </w:tr>
    </w:tbl>
    <w:p>
      <w:pPr>
        <w:spacing w:after="80" w:before="80"/>
      </w:pPr>
      <w:r>
        <w:t xml:space="preserve"/>
      </w:r>
    </w:p>
    <w:p>
      <w:pPr>
        <w:spacing w:after="160" w:before="80"/>
      </w:pPr>
      <w:r>
        <w:rPr>
          <w:rFonts w:ascii="Arial" w:cs="Arial" w:eastAsia="Arial" w:hAnsi="Arial"/>
          <w:i/>
          <w:iCs/>
          <w:color w:val="555555"/>
          <w:sz w:val="18"/>
          <w:szCs w:val="18"/>
        </w:rPr>
        <w:t xml:space="preserve">Note: All three sources are weighted equally at 33.3%. Where Michelin Bib Gourmand data is unavailable (cities outside Michelin coverage), its weight is redistributed equally across OAD and Eater.</w:t>
      </w:r>
    </w:p>
    <w:p>
      <w:pPr>
        <w:spacing w:after="160" w:before="80"/>
      </w:pPr>
      <w:r>
        <w:rPr>
          <w:rFonts w:ascii="Arial" w:cs="Arial" w:eastAsia="Arial" w:hAnsi="Arial"/>
          <w:i/>
          <w:iCs/>
          <w:color w:val="555555"/>
          <w:sz w:val="18"/>
          <w:szCs w:val="18"/>
        </w:rPr>
        <w:t xml:space="preserve">Note: La Liste is excluded from this category. Its methodology aggregates sources oriented toward fine and upper-mid dining and does not provide meaningful signal at the casual dining price point.</w:t>
      </w:r>
    </w:p>
    <w:p>
      <w:pPr>
        <w:spacing w:after="80" w:before="80"/>
      </w:pPr>
      <w:r>
        <w:t xml:space="preserve"/>
      </w:r>
    </w:p>
    <w:p>
      <w:pPr>
        <w:pStyle w:val="Heading1"/>
        <w:spacing w:after="160" w:before="400"/>
      </w:pPr>
      <w:r>
        <w:rPr>
          <w:rFonts w:ascii="Arial" w:cs="Arial" w:eastAsia="Arial" w:hAnsi="Arial"/>
          <w:b/>
          <w:bCs/>
          <w:color w:val="1A3C5E"/>
          <w:sz w:val="32"/>
          <w:szCs w:val="32"/>
        </w:rPr>
        <w:t xml:space="preserve">3. Cheap Eats &amp; Street Food</w:t>
      </w:r>
    </w:p>
    <w:p>
      <w:pPr>
        <w:spacing w:after="80" w:before="80"/>
      </w:pPr>
      <w:r>
        <w:rPr>
          <w:rFonts w:ascii="Arial" w:cs="Arial" w:eastAsia="Arial" w:hAnsi="Arial"/>
          <w:sz w:val="20"/>
          <w:szCs w:val="20"/>
        </w:rPr>
        <w:t xml:space="preserve">The cheap eats &amp; street food score measures the vibrancy, volume and quality of a city's most affordable and informal food culture — street vendors, hawker centres, night markets, food markets, and casual eating establishments priced at $20 or under. This is a traveller-oriented measure of how exciting and accessible a city is at the very affordable end of the food spectrum.</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3.1  Scope</w:t>
      </w:r>
    </w:p>
    <w:p>
      <w:pPr>
        <w:spacing w:after="80" w:before="80"/>
      </w:pPr>
      <w:r>
        <w:rPr>
          <w:rFonts w:ascii="Arial" w:cs="Arial" w:eastAsia="Arial" w:hAnsi="Arial"/>
          <w:sz w:val="20"/>
          <w:szCs w:val="20"/>
        </w:rPr>
        <w:t xml:space="preserve">This category covers informal and very affordable food — street vendors, market stalls, hawker centres, food courts, and sit-down establishments where a full meal costs $20 or less. Singapore's hawker centres are classified here despite their permanent, covered nature, reflecting their street food pricing, culture and identity.</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3.2  Google Maps methodology</w:t>
      </w:r>
    </w:p>
    <w:p>
      <w:pPr>
        <w:spacing w:after="80" w:before="80"/>
      </w:pPr>
      <w:r>
        <w:rPr>
          <w:rFonts w:ascii="Arial" w:cs="Arial" w:eastAsia="Arial" w:hAnsi="Arial"/>
          <w:sz w:val="20"/>
          <w:szCs w:val="20"/>
        </w:rPr>
        <w:t xml:space="preserve">Google Maps data is used to count the volume of eating establishments per city that meet two criteria: a price range of $20 or below, and a rating of 4.5 or above. Volume is used as the primary signal — the more qualifying establishments a city has, the higher it scores on this source. No normalisation is applied for city size, consistent with the traveller-first principle applied across all categories: a visitor to Bangkok has access to the full volume of qualifying venues regardless of population.</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3.3  OAD Cheap Eats and Eater $ listings</w:t>
      </w:r>
    </w:p>
    <w:p>
      <w:pPr>
        <w:spacing w:after="80" w:before="80"/>
      </w:pPr>
      <w:r>
        <w:rPr>
          <w:rFonts w:ascii="Arial" w:cs="Arial" w:eastAsia="Arial" w:hAnsi="Arial"/>
          <w:sz w:val="20"/>
          <w:szCs w:val="20"/>
        </w:rPr>
        <w:t xml:space="preserve">OAD Cheap Eats and Eater $ listings are both included in this category as well as in Category 2, reflecting the ambiguity of their price coverage. Within this category they provide an expert and editorial quality signal to complement the volume-based Google Maps score.</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3.4  Street food destination flag</w:t>
      </w:r>
    </w:p>
    <w:p>
      <w:pPr>
        <w:spacing w:after="80" w:before="80"/>
      </w:pPr>
      <w:r>
        <w:rPr>
          <w:rFonts w:ascii="Arial" w:cs="Arial" w:eastAsia="Arial" w:hAnsi="Arial"/>
          <w:sz w:val="20"/>
          <w:szCs w:val="20"/>
        </w:rPr>
        <w:t xml:space="preserve">Cities where cheap eats and street food culture is exceptional and central to the city's food identity receive a street food destination flag. This does not affect the numerical score but surfaces these cities as recommended destinations for travellers specifically seeking street food experiences. Initial candidates for this flag include Bangkok, Mexico City, Singapore, Mumbai, Ho Chi Minh City, and Marrakech.</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3.5  Sources and weightings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936"/>
        <w:gridCol w:w="1591"/>
        <w:gridCol w:w="2808"/>
        <w:gridCol w:w="1685"/>
      </w:tblGrid>
      <w:tr>
        <w:trPr>
          <w:tblHeader/>
        </w:trPr>
        <w:tc>
          <w:tcPr>
            <w:tcW w:type="dxa" w:w="2340"/>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c>
          <w:tcPr>
            <w:tcW w:type="dxa" w:w="936"/>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W w:type="dxa" w:w="159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Type</w:t>
            </w:r>
          </w:p>
        </w:tc>
        <w:tc>
          <w:tcPr>
            <w:tcW w:type="dxa" w:w="2808"/>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What you extract</w:t>
            </w:r>
          </w:p>
        </w:tc>
        <w:tc>
          <w:tcPr>
            <w:tcW w:type="dxa" w:w="1685"/>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Coverage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Google Maps (≤$20, ≥4.5 rating)</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30%</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Volume of qualifying eating establishments per city; no size normalisation</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Night market / food market counts (OpenStreetMap)</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Count of food markets and night market venues per city</w:t>
            </w:r>
          </w:p>
        </w:tc>
        <w:tc>
          <w:tcPr>
            <w:tcW w:type="dxa" w:w="1685"/>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Time Out street food coverage</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Scraped editorial</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City mention frequency + ranking position in street food list articles</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OAD Cheap Eats</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Restaurant count + rank per city</w:t>
            </w:r>
          </w:p>
        </w:tc>
        <w:tc>
          <w:tcPr>
            <w:tcW w:type="dxa" w:w="1685"/>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Europe, N. America, Asia</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Eater city maps ($ only)</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Scraped structured data</w:t>
            </w:r>
          </w:p>
        </w:tc>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Count of $ rated restaurants per city map</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100+ cities globally</w:t>
            </w:r>
          </w:p>
        </w:tc>
      </w:tr>
    </w:tbl>
    <w:p>
      <w:pPr>
        <w:spacing w:after="80" w:before="80"/>
      </w:pPr>
      <w:r>
        <w:t xml:space="preserve"/>
      </w:r>
    </w:p>
    <w:p>
      <w:pPr>
        <w:spacing w:after="160" w:before="80"/>
      </w:pPr>
      <w:r>
        <w:rPr>
          <w:rFonts w:ascii="Arial" w:cs="Arial" w:eastAsia="Arial" w:hAnsi="Arial"/>
          <w:i/>
          <w:iCs/>
          <w:color w:val="555555"/>
          <w:sz w:val="18"/>
          <w:szCs w:val="18"/>
        </w:rPr>
        <w:t xml:space="preserve">Note: Google Maps volume score uses raw establishment counts with no city size normalisation. Larger cities with more qualifying venues will naturally score higher, which is the intended behaviour for a traveller-oriented metric.</w:t>
      </w:r>
    </w:p>
    <w:p>
      <w:pPr>
        <w:spacing w:after="160" w:before="80"/>
      </w:pPr>
      <w:r>
        <w:rPr>
          <w:rFonts w:ascii="Arial" w:cs="Arial" w:eastAsia="Arial" w:hAnsi="Arial"/>
          <w:i/>
          <w:iCs/>
          <w:color w:val="555555"/>
          <w:sz w:val="18"/>
          <w:szCs w:val="18"/>
        </w:rPr>
        <w:t xml:space="preserve">Note: OAD Cheap Eats and Eater $ also appear in Category 2 (Casual Sit-Down Dining) to account for price range ambiguity across both categories.</w:t>
      </w:r>
    </w:p>
    <w:p>
      <w:pPr>
        <w:spacing w:after="80" w:before="80"/>
      </w:pPr>
      <w:r>
        <w:t xml:space="preserve"/>
      </w:r>
    </w:p>
    <w:p>
      <w:pPr>
        <w:pStyle w:val="Heading1"/>
        <w:spacing w:after="160" w:before="400"/>
      </w:pPr>
      <w:r>
        <w:rPr>
          <w:rFonts w:ascii="Arial" w:cs="Arial" w:eastAsia="Arial" w:hAnsi="Arial"/>
          <w:b/>
          <w:bCs/>
          <w:color w:val="1A3C5E"/>
          <w:sz w:val="32"/>
          <w:szCs w:val="32"/>
        </w:rPr>
        <w:t xml:space="preserve">4. Bars</w:t>
      </w:r>
    </w:p>
    <w:p>
      <w:pPr>
        <w:spacing w:after="80" w:before="80"/>
      </w:pPr>
      <w:r>
        <w:rPr>
          <w:rFonts w:ascii="Arial" w:cs="Arial" w:eastAsia="Arial" w:hAnsi="Arial"/>
          <w:sz w:val="20"/>
          <w:szCs w:val="20"/>
        </w:rPr>
        <w:t xml:space="preserve">The bars score measures both the density of high-quality bars in a city and the absolute quality ceiling of its bar scene. The category is deliberately structured as a 50/50 split between density and quality signals, reflecting the view that an exciting bar city needs both volume — enough great bars that a visitor can explore freely — and prestige, with at least some bars operating at a world-class level.</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4.1  Scoring principle: density vs quality</w:t>
      </w:r>
    </w:p>
    <w:p>
      <w:pPr>
        <w:spacing w:after="80" w:before="80"/>
      </w:pPr>
      <w:r>
        <w:rPr>
          <w:rFonts w:ascii="Arial" w:cs="Arial" w:eastAsia="Arial" w:hAnsi="Arial"/>
          <w:sz w:val="20"/>
          <w:szCs w:val="20"/>
        </w:rPr>
        <w:t xml:space="preserve">Density (60% of score): measured primarily by the volume of highly rated bars per city via Google Maps (50% of total score), supplemented by Time Out editorial coverage (10%). Google Maps is weighted heavily because it captures all bar types equally — cocktail bars, dive bars, rooftop bars, whisky bars, wine bars — without the cocktail-bar bias inherent in prestige lists. No price filter is applied and no normalisation is applied for city size, consistent with the traveller-first principle used across all categories.</w:t>
      </w:r>
    </w:p>
    <w:p>
      <w:pPr>
        <w:spacing w:after="80" w:before="80"/>
      </w:pPr>
      <w:r>
        <w:rPr>
          <w:rFonts w:ascii="Arial" w:cs="Arial" w:eastAsia="Arial" w:hAnsi="Arial"/>
          <w:sz w:val="20"/>
          <w:szCs w:val="20"/>
        </w:rPr>
        <w:t xml:space="preserve">Quality ceiling (40% of score): measured by placements on the World’s 50 Best Bars family of lists (30%) and the Drinks International Bar Awards (10%). Two independent sources are used for quality to reduce the risk of a single list’s voter bias distorting results. Their combined weight has been reduced relative to density to address the well-documented cocktail-bar bias in both lists, which systematically underrepresents cities with exceptional rooftop, whisky, dive bar or wine bar cultures.</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4.2  World's 50 Best Bars — list structure</w:t>
      </w:r>
    </w:p>
    <w:p>
      <w:pPr>
        <w:spacing w:after="80" w:before="80"/>
      </w:pPr>
      <w:r>
        <w:rPr>
          <w:rFonts w:ascii="Arial" w:cs="Arial" w:eastAsia="Arial" w:hAnsi="Arial"/>
          <w:sz w:val="20"/>
          <w:szCs w:val="20"/>
        </w:rPr>
        <w:t xml:space="preserve">Three lists from the 50 Best organisation contribute to the quality score as a combined 25% bucket: the global World's 50 Best Bars (including the 51-100 extended list), Asia's 50 Best Bars, and North America's 50 Best Bars. Within this combined bucket, placements on the global list are weighted above placements on regional lists, consistent with the approach taken for fine dining. There is currently no Europe's 50 Best Bars or Latin America's 50 Best Bars equivalent — European and Latin American cities rely on the global list for their quality signal, which is appropriate given their strong representation on it.</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4.3  Drinks International Bar Awards</w:t>
      </w:r>
    </w:p>
    <w:p>
      <w:pPr>
        <w:spacing w:after="80" w:before="80"/>
      </w:pPr>
      <w:r>
        <w:rPr>
          <w:rFonts w:ascii="Arial" w:cs="Arial" w:eastAsia="Arial" w:hAnsi="Arial"/>
          <w:sz w:val="20"/>
          <w:szCs w:val="20"/>
        </w:rPr>
        <w:t xml:space="preserve">The Drinks International Bar Awards provide an independent quality signal with a distinct voter base from the 50 Best organisation. This reduces the risk of a single judging community's preferences — which currently lean toward cocktail bars and craft mixology — dominating the quality score. Placements are weighted by rank.</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4.4  Google Maps methodology</w:t>
      </w:r>
    </w:p>
    <w:p>
      <w:pPr>
        <w:spacing w:after="80" w:before="80"/>
      </w:pPr>
      <w:r>
        <w:rPr>
          <w:rFonts w:ascii="Arial" w:cs="Arial" w:eastAsia="Arial" w:hAnsi="Arial"/>
          <w:sz w:val="20"/>
          <w:szCs w:val="20"/>
        </w:rPr>
        <w:t xml:space="preserve">Google Maps data is used to count the volume of bars per city with a rating of 4.5 or above. No price filter is applied and no normalisation is applied for city size, consistent with the traveller-first principle used across all categories.</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4.5  Sources and weightings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936"/>
        <w:gridCol w:w="749"/>
        <w:gridCol w:w="1591"/>
        <w:gridCol w:w="2621"/>
        <w:gridCol w:w="936"/>
      </w:tblGrid>
      <w:tr>
        <w:trPr>
          <w:tblHeader/>
        </w:trPr>
        <w:tc>
          <w:tcPr>
            <w:tcW w:type="dxa" w:w="2527"/>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c>
          <w:tcPr>
            <w:tcW w:type="dxa" w:w="936"/>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W w:type="dxa" w:w="749"/>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Signal</w:t>
            </w:r>
          </w:p>
        </w:tc>
        <w:tc>
          <w:tcPr>
            <w:tcW w:type="dxa" w:w="159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Type</w:t>
            </w:r>
          </w:p>
        </w:tc>
        <w:tc>
          <w:tcPr>
            <w:tcW w:type="dxa" w:w="262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What you extract</w:t>
            </w:r>
          </w:p>
        </w:tc>
        <w:tc>
          <w:tcPr>
            <w:tcW w:type="dxa" w:w="936"/>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Coverage</w:t>
            </w:r>
          </w:p>
        </w:tc>
      </w:tr>
      <w:tr>
        <w:tc>
          <w:tcPr>
            <w:tcW w:type="dxa" w:w="252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Google Maps (≥4.5 rating, all bar types)</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50%</w:t>
            </w:r>
          </w:p>
        </w:tc>
        <w:tc>
          <w:tcPr>
            <w:tcW w:type="dxa" w:w="74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Density</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62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Volume of highly rated bars per city; no size normalisation</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527"/>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Time Out bar coverage</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10%</w:t>
            </w:r>
          </w:p>
        </w:tc>
        <w:tc>
          <w:tcPr>
            <w:tcW w:type="dxa" w:w="749"/>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Density</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Scraped editorial</w:t>
            </w:r>
          </w:p>
        </w:tc>
        <w:tc>
          <w:tcPr>
            <w:tcW w:type="dxa" w:w="262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City mention frequency + ranking position in best bars list articles</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52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World’s 50 Best Bars + Asia’s 50 Best Bars + N. America’s 50 Best Bars (combined)</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30%</w:t>
            </w:r>
          </w:p>
        </w:tc>
        <w:tc>
          <w:tcPr>
            <w:tcW w:type="dxa" w:w="74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Quality</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62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Placements weighted by rank; global list weighted above regional lists</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 + 2 regional</w:t>
            </w:r>
          </w:p>
        </w:tc>
      </w:tr>
      <w:tr>
        <w:tc>
          <w:tcPr>
            <w:tcW w:type="dxa" w:w="2527"/>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Drinks International Bar Awards</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10%</w:t>
            </w:r>
          </w:p>
        </w:tc>
        <w:tc>
          <w:tcPr>
            <w:tcW w:type="dxa" w:w="749"/>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Quality</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62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Placements weighted by rank; independent voter base from 50 Best</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bl>
    <w:p>
      <w:pPr>
        <w:spacing w:after="80" w:before="80"/>
      </w:pPr>
      <w:r>
        <w:t xml:space="preserve"/>
      </w:r>
    </w:p>
    <w:p>
      <w:pPr>
        <w:spacing w:after="160" w:before="80"/>
      </w:pPr>
      <w:r>
        <w:rPr>
          <w:rFonts w:ascii="Arial" w:cs="Arial" w:eastAsia="Arial" w:hAnsi="Arial"/>
          <w:i/>
          <w:iCs/>
          <w:color w:val="555555"/>
          <w:sz w:val="18"/>
          <w:szCs w:val="18"/>
        </w:rPr>
        <w:t xml:space="preserve">Note: The 50% density / 50% quality split is a deliberate design choice reflecting that bar scene excitement requires both breadth and a quality ceiling. Cities with many good bars but no world-class venues, and cities with one iconic bar but little else, are both penalised relative to cities that deliver on both dimensions.</w:t>
      </w:r>
    </w:p>
    <w:p>
      <w:pPr>
        <w:spacing w:after="160" w:before="80"/>
      </w:pPr>
      <w:r>
        <w:rPr>
          <w:rFonts w:ascii="Arial" w:cs="Arial" w:eastAsia="Arial" w:hAnsi="Arial"/>
          <w:i/>
          <w:iCs/>
          <w:color w:val="555555"/>
          <w:sz w:val="18"/>
          <w:szCs w:val="18"/>
        </w:rPr>
        <w:t xml:space="preserve">Note: There is no regional 50 Best Bars list for Europe or Latin America. European and Latin American cities are assessed via the global World's 50 Best Bars list, on which they are well represented — London and New York currently lead with four entries each.</w:t>
      </w:r>
    </w:p>
    <w:p>
      <w:pPr>
        <w:spacing w:after="80" w:before="80"/>
      </w:pPr>
      <w:r>
        <w:t xml:space="preserve"/>
      </w:r>
    </w:p>
    <w:p>
      <w:pPr>
        <w:pStyle w:val="Heading1"/>
        <w:spacing w:after="160" w:before="400"/>
      </w:pPr>
      <w:r>
        <w:rPr>
          <w:rFonts w:ascii="Arial" w:cs="Arial" w:eastAsia="Arial" w:hAnsi="Arial"/>
          <w:b/>
          <w:bCs/>
          <w:color w:val="1A3C5E"/>
          <w:sz w:val="32"/>
          <w:szCs w:val="32"/>
        </w:rPr>
        <w:t xml:space="preserve">5. Variety</w:t>
      </w:r>
    </w:p>
    <w:p>
      <w:pPr>
        <w:spacing w:after="80" w:before="80"/>
      </w:pPr>
      <w:r>
        <w:rPr>
          <w:rFonts w:ascii="Arial" w:cs="Arial" w:eastAsia="Arial" w:hAnsi="Arial"/>
          <w:sz w:val="20"/>
          <w:szCs w:val="20"/>
        </w:rPr>
        <w:t xml:space="preserve">The variety score measures the cosmopolitan breadth of a city's dining scene — specifically how many distinct cuisine families are represented by well-reviewed restaurants. A high variety score means a traveller can eat exceptionally well across a wide range of cuisines, not just in one national tradition.</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5.1  Scoring principle: quality breadth not just breadth</w:t>
      </w:r>
    </w:p>
    <w:p>
      <w:pPr>
        <w:spacing w:after="80" w:before="80"/>
      </w:pPr>
      <w:r>
        <w:rPr>
          <w:rFonts w:ascii="Arial" w:cs="Arial" w:eastAsia="Arial" w:hAnsi="Arial"/>
          <w:sz w:val="20"/>
          <w:szCs w:val="20"/>
        </w:rPr>
        <w:t xml:space="preserve">The category measures quality breadth rather than simple breadth. A city where 30 cuisines technically exist but only two are executed at a high level scores lower than a city where 20 cuisines all have multiple highly-rated representatives. The scoring therefore combines a count of qualifying cuisine families with a depth multiplier that rewards cities with genuine critical mass in each cuisine.</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5.2  Cuisine family definitions</w:t>
      </w:r>
    </w:p>
    <w:p>
      <w:pPr>
        <w:spacing w:after="80" w:before="80"/>
      </w:pPr>
      <w:r>
        <w:rPr>
          <w:rFonts w:ascii="Arial" w:cs="Arial" w:eastAsia="Arial" w:hAnsi="Arial"/>
          <w:sz w:val="20"/>
          <w:szCs w:val="20"/>
        </w:rPr>
        <w:t xml:space="preserve">Scores are calculated at the level of broad cuisine families rather than granular subcategories. This prevents cities with deep single-cuisine scenes (e.g. Tokyo with multiple Japanese subcategories) from scoring artificially high on variety. The 23 recognised cuisine families are: Japanese, Chinese, French, Italian, Indian, Korean, Mexican, Latin American, Nordic, Spanish, American, Mediterranean, African, Caribbean, British, German, Greek, Turkish, Persian, Jewish/Israeli, Vietnamese, Thai, and Contemporary/Fusion.</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5.3  Depth multiplier</w:t>
      </w:r>
    </w:p>
    <w:p>
      <w:pPr>
        <w:spacing w:after="80" w:before="80"/>
      </w:pPr>
      <w:r>
        <w:rPr>
          <w:rFonts w:ascii="Arial" w:cs="Arial" w:eastAsia="Arial" w:hAnsi="Arial"/>
          <w:sz w:val="20"/>
          <w:szCs w:val="20"/>
        </w:rPr>
        <w:t xml:space="preserve">Within each source, cuisine families with 3 or more high-quality representatives receive a 1.5x multiplier versus cuisine families represented by a single qualifying restaurant. This rewards cities with genuine depth of variety rather than a token presence across many cuisines.</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5.4  Sources and weightings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21"/>
        <w:gridCol w:w="936"/>
        <w:gridCol w:w="1591"/>
        <w:gridCol w:w="2621"/>
        <w:gridCol w:w="1591"/>
      </w:tblGrid>
      <w:tr>
        <w:trPr>
          <w:tblHeader/>
        </w:trPr>
        <w:tc>
          <w:tcPr>
            <w:tcW w:type="dxa" w:w="262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c>
          <w:tcPr>
            <w:tcW w:type="dxa" w:w="936"/>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W w:type="dxa" w:w="159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Type</w:t>
            </w:r>
          </w:p>
        </w:tc>
        <w:tc>
          <w:tcPr>
            <w:tcW w:type="dxa" w:w="262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What you extract</w:t>
            </w:r>
          </w:p>
        </w:tc>
        <w:tc>
          <w:tcPr>
            <w:tcW w:type="dxa" w:w="159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Quality threshold</w:t>
            </w:r>
          </w:p>
        </w:tc>
      </w:tr>
      <w:tr>
        <w:tc>
          <w:tcPr>
            <w:tcW w:type="dxa" w:w="262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Google Places cuisine diversity</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40%</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62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Count of qualifying cuisine families, weighted by depth (3+ restaurants = 1.5x multiplier)</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≥4.5 rating, min 3 restaurants per cuisine family</w:t>
            </w:r>
          </w:p>
        </w:tc>
      </w:tr>
      <w:tr>
        <w:tc>
          <w:tcPr>
            <w:tcW w:type="dxa" w:w="262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Michelin cuisine tags (starred + Bib Gourmand)</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30%</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62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Count of cuisine families with at least 1 starred or Bib Gourmand restaurant</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At least 1 starred or Bib Gourmand per cuisine family</w:t>
            </w:r>
          </w:p>
        </w:tc>
      </w:tr>
      <w:tr>
        <w:tc>
          <w:tcPr>
            <w:tcW w:type="dxa" w:w="262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Eater city map cuisine tags</w:t>
            </w:r>
          </w:p>
        </w:tc>
        <w:tc>
          <w:tcPr>
            <w:tcW w:type="dxa" w:w="93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20%</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Scraped structured data</w:t>
            </w:r>
          </w:p>
        </w:tc>
        <w:tc>
          <w:tcPr>
            <w:tcW w:type="dxa" w:w="262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Count of cuisine families represented across city map listings</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At least 1 Eater listing per cuisine family</w:t>
            </w:r>
          </w:p>
        </w:tc>
      </w:tr>
      <w:tr>
        <w:tc>
          <w:tcPr>
            <w:tcW w:type="dxa" w:w="262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World's 50 Best cuisine diversity</w:t>
            </w:r>
          </w:p>
        </w:tc>
        <w:tc>
          <w:tcPr>
            <w:tcW w:type="dxa" w:w="93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10%</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Structured data</w:t>
            </w:r>
          </w:p>
        </w:tc>
        <w:tc>
          <w:tcPr>
            <w:tcW w:type="dxa" w:w="262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Count of distinct cuisine families represented across city's 50 Best placements</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At least 1 placement per cuisine family</w:t>
            </w:r>
          </w:p>
        </w:tc>
      </w:tr>
    </w:tbl>
    <w:p>
      <w:pPr>
        <w:spacing w:after="80" w:before="80"/>
      </w:pPr>
      <w:r>
        <w:t xml:space="preserve"/>
      </w:r>
    </w:p>
    <w:p>
      <w:pPr>
        <w:spacing w:after="160" w:before="80"/>
      </w:pPr>
      <w:r>
        <w:rPr>
          <w:rFonts w:ascii="Arial" w:cs="Arial" w:eastAsia="Arial" w:hAnsi="Arial"/>
          <w:i/>
          <w:iCs/>
          <w:color w:val="555555"/>
          <w:sz w:val="18"/>
          <w:szCs w:val="18"/>
        </w:rPr>
        <w:t xml:space="preserve">Note: Google Places carries the highest weight (40%) as the only source with truly global coverage and sufficient depth to measure genuine variety. The 4.5+ rating threshold and minimum 3 restaurants per cuisine family requirement ensure the signal reflects quality breadth rather than mere presence.</w:t>
      </w:r>
    </w:p>
    <w:p>
      <w:pPr>
        <w:spacing w:after="160" w:before="80"/>
      </w:pPr>
      <w:r>
        <w:rPr>
          <w:rFonts w:ascii="Arial" w:cs="Arial" w:eastAsia="Arial" w:hAnsi="Arial"/>
          <w:i/>
          <w:iCs/>
          <w:color w:val="555555"/>
          <w:sz w:val="18"/>
          <w:szCs w:val="18"/>
        </w:rPr>
        <w:t xml:space="preserve">Note: Michelin cuisine tags are subject to the same geographic coverage gaps as other Michelin-based sources. Cities without a Michelin guide rely more heavily on Google Places and Eater for their variety score.</w:t>
      </w:r>
    </w:p>
    <w:p>
      <w:pPr>
        <w:spacing w:after="80" w:before="80"/>
      </w:pPr>
      <w:r>
        <w:t xml:space="preserve"/>
      </w:r>
    </w:p>
    <w:p>
      <w:pPr>
        <w:pStyle w:val="Heading1"/>
        <w:spacing w:after="160" w:before="400"/>
      </w:pPr>
      <w:r>
        <w:rPr>
          <w:rFonts w:ascii="Arial" w:cs="Arial" w:eastAsia="Arial" w:hAnsi="Arial"/>
          <w:b/>
          <w:bCs/>
          <w:color w:val="1A3C5E"/>
          <w:sz w:val="32"/>
          <w:szCs w:val="32"/>
        </w:rPr>
        <w:t xml:space="preserve">6. Overall City Rating</w:t>
      </w:r>
    </w:p>
    <w:p>
      <w:pPr>
        <w:spacing w:after="80" w:before="80"/>
      </w:pPr>
      <w:r>
        <w:rPr>
          <w:rFonts w:ascii="Arial" w:cs="Arial" w:eastAsia="Arial" w:hAnsi="Arial"/>
          <w:sz w:val="20"/>
          <w:szCs w:val="20"/>
        </w:rPr>
        <w:t xml:space="preserve">The overall city rating combines scores from all five categories with a 25% editorial overlay, plus a Excellence Bonus that rewards cities for exceptional performance in any single category. It is designed to capture both the data-driven picture of a city's food and drink scene and the broader editorial consensus.</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6.1  Category weighting</w:t>
      </w:r>
    </w:p>
    <w:p>
      <w:pPr>
        <w:spacing w:after="80" w:before="80"/>
      </w:pPr>
      <w:r>
        <w:rPr>
          <w:rFonts w:ascii="Arial" w:cs="Arial" w:eastAsia="Arial" w:hAnsi="Arial"/>
          <w:sz w:val="20"/>
          <w:szCs w:val="20"/>
        </w:rPr>
        <w:t xml:space="preserve">The five categories are weighted equally at 15% each, together contributing 75% of the overall score. An equal weighting reflects the view that no single category is more important than another in determining overall food and drink excitement.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48"/>
        <w:gridCol w:w="1872"/>
        <w:gridCol w:w="2340"/>
      </w:tblGrid>
      <w:tr>
        <w:trPr>
          <w:tblHeader/>
        </w:trPr>
        <w:tc>
          <w:tcPr>
            <w:tcW w:type="dxa" w:w="5148"/>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Component</w:t>
            </w:r>
          </w:p>
        </w:tc>
        <w:tc>
          <w:tcPr>
            <w:tcW w:type="dxa" w:w="1872"/>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Weight</w:t>
            </w:r>
          </w:p>
        </w:tc>
        <w:tc>
          <w:tcPr>
            <w:tcW w:type="dxa" w:w="2340"/>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r>
      <w:tr>
        <w:tc>
          <w:tcPr>
            <w:tcW w:type="dxa" w:w="514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Fine Dining score</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Category 1 methodology</w:t>
            </w:r>
          </w:p>
        </w:tc>
      </w:tr>
      <w:tr>
        <w:tc>
          <w:tcPr>
            <w:tcW w:type="dxa" w:w="514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Casual Sit-Down Dining score</w:t>
            </w:r>
          </w:p>
        </w:tc>
        <w:tc>
          <w:tcPr>
            <w:tcW w:type="dxa" w:w="1872"/>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Category 2 methodology</w:t>
            </w:r>
          </w:p>
        </w:tc>
      </w:tr>
      <w:tr>
        <w:tc>
          <w:tcPr>
            <w:tcW w:type="dxa" w:w="514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Cheap Eats &amp; Street Food score</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Category 3 methodology</w:t>
            </w:r>
          </w:p>
        </w:tc>
      </w:tr>
      <w:tr>
        <w:tc>
          <w:tcPr>
            <w:tcW w:type="dxa" w:w="514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Bars score</w:t>
            </w:r>
          </w:p>
        </w:tc>
        <w:tc>
          <w:tcPr>
            <w:tcW w:type="dxa" w:w="1872"/>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Category 4 methodology</w:t>
            </w:r>
          </w:p>
        </w:tc>
      </w:tr>
      <w:tr>
        <w:tc>
          <w:tcPr>
            <w:tcW w:type="dxa" w:w="514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Variety score</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Category 5 methodology</w:t>
            </w:r>
          </w:p>
        </w:tc>
      </w:tr>
      <w:tr>
        <w:tc>
          <w:tcPr>
            <w:tcW w:type="dxa" w:w="514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Editorial 'best food cities' lists (six sources combined)</w:t>
            </w:r>
          </w:p>
        </w:tc>
        <w:tc>
          <w:tcPr>
            <w:tcW w:type="dxa" w:w="1872"/>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25%</w:t>
            </w:r>
          </w:p>
        </w:tc>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See Section 6.2</w:t>
            </w:r>
          </w:p>
        </w:tc>
      </w:tr>
    </w:tbl>
    <w:p>
      <w:pPr>
        <w:spacing w:after="80" w:before="80"/>
      </w:pPr>
      <w:r>
        <w:t xml:space="preserve"/>
      </w:r>
    </w:p>
    <w:p>
      <w:pPr>
        <w:pStyle w:val="Heading2"/>
        <w:spacing w:after="120" w:before="280"/>
      </w:pPr>
      <w:r>
        <w:rPr>
          <w:rFonts w:ascii="Arial" w:cs="Arial" w:eastAsia="Arial" w:hAnsi="Arial"/>
          <w:b/>
          <w:bCs/>
          <w:color w:val="2E6DA4"/>
          <w:sz w:val="24"/>
          <w:szCs w:val="24"/>
        </w:rPr>
        <w:t xml:space="preserve">6.2  Excellence Bonus</w:t>
      </w:r>
    </w:p>
    <w:p>
      <w:pPr>
        <w:spacing w:after="80" w:before="80"/>
      </w:pPr>
      <w:r>
        <w:rPr>
          <w:rFonts w:ascii="Arial" w:cs="Arial" w:eastAsia="Arial" w:hAnsi="Arial"/>
          <w:sz w:val="20"/>
          <w:szCs w:val="20"/>
        </w:rPr>
        <w:t xml:space="preserve">A Excellence Bonus is added to the overall score to reward cities that are genuinely outstanding in one or more categories — reflecting the editorial view that a city scoring 97 on cheap eats (Bangkok) or 98 on fine dining (Tokyo) is more exciting than a city that scores consistently in the mid-70s across all five categories.</w:t>
      </w:r>
    </w:p>
    <w:p>
      <w:pPr>
        <w:spacing w:after="80" w:before="80"/>
      </w:pPr>
      <w:r>
        <w:rPr>
          <w:rFonts w:ascii="Arial" w:cs="Arial" w:eastAsia="Arial" w:hAnsi="Arial"/>
          <w:sz w:val="20"/>
          <w:szCs w:val="20"/>
        </w:rPr>
        <w:t xml:space="preserve">The bonus is calculated as follows:</w:t>
      </w:r>
    </w:p>
    <w:p>
      <w:pPr>
        <w:spacing w:after="80" w:before="80"/>
      </w:pPr>
      <w:r>
        <w:t xml:space="preserve"/>
      </w:r>
    </w:p>
    <w:tbl>
      <w:tblPr>
        <w:tblW w:type="dxa" w:w="5148"/>
        <w:tblBorders>
          <w:top w:val="single" w:color="auto" w:sz="4"/>
          <w:left w:val="single" w:color="auto" w:sz="4"/>
          <w:bottom w:val="single" w:color="auto" w:sz="4"/>
          <w:right w:val="single" w:color="auto" w:sz="4"/>
          <w:insideH w:val="single" w:color="auto" w:sz="4"/>
          <w:insideV w:val="single" w:color="auto" w:sz="4"/>
        </w:tblBorders>
      </w:tblPr>
      <w:tblGrid>
        <w:gridCol w:w="2808"/>
        <w:gridCol w:w="2340"/>
      </w:tblGrid>
      <w:tr>
        <w:trPr>
          <w:tblHeader/>
        </w:trPr>
        <w:tc>
          <w:tcPr>
            <w:tcW w:type="dxa" w:w="2808"/>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Category score</w:t>
            </w:r>
          </w:p>
        </w:tc>
        <w:tc>
          <w:tcPr>
            <w:tcW w:type="dxa" w:w="2340"/>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Bonus points</w:t>
            </w:r>
          </w:p>
        </w:tc>
      </w:tr>
      <w:tr>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90–94 in any category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+5 points</w:t>
            </w:r>
          </w:p>
        </w:tc>
      </w:tr>
      <w:tr>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95–100 in any category</w:t>
            </w:r>
          </w:p>
        </w:tc>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+7 points</w:t>
            </w:r>
          </w:p>
        </w:tc>
      </w:tr>
      <w:tr>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Maximum bonus (cap)</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+14 points</w:t>
            </w:r>
          </w:p>
        </w:tc>
      </w:tr>
    </w:tbl>
    <w:p>
      <w:pPr>
        <w:spacing w:after="80" w:before="80"/>
      </w:pPr>
      <w:r>
        <w:t xml:space="preserve"/>
      </w:r>
    </w:p>
    <w:p>
      <w:pPr>
        <w:spacing w:after="160" w:before="80"/>
      </w:pPr>
      <w:r>
        <w:rPr>
          <w:rFonts w:ascii="Arial" w:cs="Arial" w:eastAsia="Arial" w:hAnsi="Arial"/>
          <w:i/>
          <w:iCs/>
          <w:color w:val="555555"/>
          <w:sz w:val="18"/>
          <w:szCs w:val="18"/>
        </w:rPr>
        <w:t xml:space="preserve">Note: The cap of +14 ensures the bonus cannot dominate the overall score. A city with two categories scoring 90+ earns +10; a city with one category at 95+ and one at 90+ earns +13 (capped at +14 if a third category also qualifies). The cap prevents compounding at the top of the rankings.</w:t>
      </w:r>
    </w:p>
    <w:p>
      <w:pPr>
        <w:spacing w:after="160" w:before="80"/>
      </w:pPr>
      <w:r>
        <w:rPr>
          <w:rFonts w:ascii="Arial" w:cs="Arial" w:eastAsia="Arial" w:hAnsi="Arial"/>
          <w:i/>
          <w:iCs/>
          <w:color w:val="555555"/>
          <w:sz w:val="18"/>
          <w:szCs w:val="18"/>
        </w:rPr>
        <w:t xml:space="preserve">Example: Bangkok scores 97 on cheap eats (+8 bonus). Ho Chi Minh City scores 92 on cheap eats (+5 bonus). New York scores 92 on bars and 96 on variety (+5 +7 = +12 bonus). Tokyo scores 98 on fine dining and 90 on casual (+7 +5 = +12 bonus).</w:t>
      </w:r>
    </w:p>
    <w:p>
      <w:pPr>
        <w:spacing w:after="80" w:before="80"/>
      </w:pPr>
      <w:r>
        <w:t xml:space="preserve"/>
      </w:r>
    </w:p>
    <w:p>
      <w:pPr>
        <w:pStyle w:val="Heading2"/>
        <w:spacing w:after="120" w:before="280"/>
      </w:pPr>
      <w:r>
        <w:rPr>
          <w:rFonts w:ascii="Arial" w:cs="Arial" w:eastAsia="Arial" w:hAnsi="Arial"/>
          <w:b/>
          <w:bCs/>
          <w:color w:val="2E6DA4"/>
          <w:sz w:val="24"/>
          <w:szCs w:val="24"/>
        </w:rPr>
        <w:t xml:space="preserve">6.3  Editorial sources</w:t>
      </w:r>
    </w:p>
    <w:p>
      <w:pPr>
        <w:spacing w:after="80" w:before="80"/>
      </w:pPr>
      <w:r>
        <w:rPr>
          <w:rFonts w:ascii="Arial" w:cs="Arial" w:eastAsia="Arial" w:hAnsi="Arial"/>
          <w:sz w:val="20"/>
          <w:szCs w:val="20"/>
        </w:rPr>
        <w:t xml:space="preserve">Six editorial sources are combined into the 25% editorial bucket. They are selected to provide broad geographic balance, covering regions that individual category sources may underrepresent. Where sources publish ranked lists, placements are weighted by rank. Where sources publish unranked selections, city inclusion is counted as a binary signal.</w:t>
      </w:r>
    </w:p>
    <w:p>
      <w:pPr>
        <w:spacing w:after="80" w:before="80"/>
      </w:pPr>
      <w:r>
        <w:rPr>
          <w:rFonts w:ascii="Arial" w:cs="Arial" w:eastAsia="Arial" w:hAnsi="Arial"/>
          <w:sz w:val="20"/>
          <w:szCs w:val="20"/>
        </w:rPr>
        <w:t xml:space="preserve">The six sources are deliberately drawn from different editorial traditions and voter bases — travel media, food media, industry awards, and reader-voted indices — to reduce the risk of any single editorial perspective dominating the overall score.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1591"/>
        <w:gridCol w:w="3276"/>
        <w:gridCol w:w="1685"/>
      </w:tblGrid>
      <w:tr>
        <w:trPr>
          <w:tblHeader/>
        </w:trPr>
        <w:tc>
          <w:tcPr>
            <w:tcW w:type="dxa" w:w="2808"/>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Source</w:t>
            </w:r>
          </w:p>
        </w:tc>
        <w:tc>
          <w:tcPr>
            <w:tcW w:type="dxa" w:w="1591"/>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Type</w:t>
            </w:r>
          </w:p>
        </w:tc>
        <w:tc>
          <w:tcPr>
            <w:tcW w:type="dxa" w:w="3276"/>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Geographic strength</w:t>
            </w:r>
          </w:p>
        </w:tc>
        <w:tc>
          <w:tcPr>
            <w:tcW w:type="dxa" w:w="1685"/>
            <w:tcBorders>
              <w:top w:val="single" w:color="CCCCCC" w:sz="1"/>
              <w:left w:val="single" w:color="CCCCCC" w:sz="1"/>
              <w:bottom w:val="single" w:color="CCCCCC" w:sz="1"/>
              <w:right w:val="single" w:color="CCCCCC" w:sz="1"/>
            </w:tcBorders>
            <w:shd w:fill="1A3C5E" w:val="clear"/>
            <w:tcMar>
              <w:top w:type="dxa" w:w="100"/>
              <w:left w:type="dxa" w:w="120"/>
              <w:bottom w:type="dxa" w:w="100"/>
              <w:right w:type="dxa" w:w="120"/>
            </w:tcMar>
          </w:tcPr>
          <w:p>
            <w:r>
              <w:rPr>
                <w:rFonts w:ascii="Arial" w:cs="Arial" w:eastAsia="Arial" w:hAnsi="Arial"/>
                <w:b/>
                <w:bCs/>
                <w:color w:val="FFFFFF"/>
                <w:sz w:val="20"/>
                <w:szCs w:val="20"/>
              </w:rPr>
              <w:t xml:space="preserve">Coverage</w:t>
            </w:r>
          </w:p>
        </w:tc>
      </w:tr>
      <w:tr>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Time Out City Life Index</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Reader-voted index</w:t>
            </w:r>
          </w:p>
        </w:tc>
        <w:tc>
          <w:tcPr>
            <w:tcW w:type="dxa" w:w="32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 strong in Europe and Latin America</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Condé Nast Traveller best food cities</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Editorial + reader votes</w:t>
            </w:r>
          </w:p>
        </w:tc>
        <w:tc>
          <w:tcPr>
            <w:tcW w:type="dxa" w:w="327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 strong in Europe, Middle East and Asia</w:t>
            </w:r>
          </w:p>
        </w:tc>
        <w:tc>
          <w:tcPr>
            <w:tcW w:type="dxa" w:w="1685"/>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Travel + Leisure best food cities</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Editorial + reader votes</w:t>
            </w:r>
          </w:p>
        </w:tc>
        <w:tc>
          <w:tcPr>
            <w:tcW w:type="dxa" w:w="32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 strong in North America and Asia</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Eater City of the Year</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Editorial award</w:t>
            </w:r>
          </w:p>
        </w:tc>
        <w:tc>
          <w:tcPr>
            <w:tcW w:type="dxa" w:w="327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Strong in North America and Europe</w:t>
            </w:r>
          </w:p>
        </w:tc>
        <w:tc>
          <w:tcPr>
            <w:tcW w:type="dxa" w:w="1685"/>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8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World Culinary Awards</w:t>
            </w:r>
          </w:p>
        </w:tc>
        <w:tc>
          <w:tcPr>
            <w:tcW w:type="dxa" w:w="159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Industry + public vote</w:t>
            </w:r>
          </w:p>
        </w:tc>
        <w:tc>
          <w:tcPr>
            <w:tcW w:type="dxa" w:w="32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Strong in Asia, Latin America, Middle East and Africa</w:t>
            </w:r>
          </w:p>
        </w:tc>
        <w:tc>
          <w:tcPr>
            <w:tcW w:type="dxa" w:w="168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r>
        <w:tc>
          <w:tcPr>
            <w:tcW w:type="dxa" w:w="2808"/>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19"/>
                <w:szCs w:val="19"/>
              </w:rPr>
              <w:t xml:space="preserve">Lonely Planet best food cities</w:t>
            </w:r>
          </w:p>
        </w:tc>
        <w:tc>
          <w:tcPr>
            <w:tcW w:type="dxa" w:w="1591"/>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Editorial</w:t>
            </w:r>
          </w:p>
        </w:tc>
        <w:tc>
          <w:tcPr>
            <w:tcW w:type="dxa" w:w="3276"/>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Strong in Asia, Latin America and Middle East</w:t>
            </w:r>
          </w:p>
        </w:tc>
        <w:tc>
          <w:tcPr>
            <w:tcW w:type="dxa" w:w="1685"/>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val="false"/>
                <w:bCs w:val="false"/>
                <w:sz w:val="19"/>
                <w:szCs w:val="19"/>
              </w:rPr>
              <w:t xml:space="preserve">Global</w:t>
            </w:r>
          </w:p>
        </w:tc>
      </w:tr>
    </w:tbl>
    <w:p>
      <w:pPr>
        <w:spacing w:after="80" w:before="80"/>
      </w:pPr>
      <w:r>
        <w:t xml:space="preserve"/>
      </w:r>
    </w:p>
    <w:p>
      <w:pPr>
        <w:spacing w:after="160" w:before="80"/>
      </w:pPr>
      <w:r>
        <w:rPr>
          <w:rFonts w:ascii="Arial" w:cs="Arial" w:eastAsia="Arial" w:hAnsi="Arial"/>
          <w:i/>
          <w:iCs/>
          <w:color w:val="555555"/>
          <w:sz w:val="18"/>
          <w:szCs w:val="18"/>
        </w:rPr>
        <w:t xml:space="preserve">Note: The 25% editorial weight is intentionally significant. It reflects the view that the overall gestalt of a city's food reputation — consistently appearing on every 'best food cities' list globally — deserves meaningful weight beyond what individual category scores capture. A city like San Sebastián, which may not top any single category, scores highly on editorial lists and this should be reflected in its overall rating.</w:t>
      </w:r>
    </w:p>
    <w:p>
      <w:pPr>
        <w:spacing w:after="160" w:before="80"/>
      </w:pPr>
      <w:r>
        <w:rPr>
          <w:rFonts w:ascii="Arial" w:cs="Arial" w:eastAsia="Arial" w:hAnsi="Arial"/>
          <w:i/>
          <w:iCs/>
          <w:color w:val="555555"/>
          <w:sz w:val="18"/>
          <w:szCs w:val="18"/>
        </w:rPr>
        <w:t xml:space="preserve">Note: Eater City of the Year is an annual single-city award rather than a ranked list. Cities that have won or been shortlisted in recent years receive a signal within this source. The recency window for inclusion is to be defined.</w:t>
      </w:r>
    </w:p>
    <w:p>
      <w:pPr>
        <w:spacing w:after="80" w:before="80"/>
      </w:pPr>
      <w:r>
        <w:t xml:space="preserv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888888"/>
        <w:sz w:val="18"/>
        <w:szCs w:val="18"/>
      </w:rPr>
      <w:t xml:space="preserve">Food &amp; Drink City Rankings — Scoring Methodology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3C5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2026-05-11T10:04:56.372Z</dcterms:created>
  <dcterms:modified xsi:type="dcterms:W3CDTF">2026-05-11T10:04:56.373Z</dcterms:modified>
</cp:coreProperties>
</file>

<file path=docProps/custom.xml><?xml version="1.0" encoding="utf-8"?>
<Properties xmlns="http://schemas.openxmlformats.org/officeDocument/2006/custom-properties" xmlns:vt="http://schemas.openxmlformats.org/officeDocument/2006/docPropsVTypes"/>
</file>